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1E319F8B" w:rsidR="007476DC" w:rsidRPr="004D2C69" w:rsidRDefault="00F02A06">
      <w:pPr>
        <w:rPr>
          <w:lang w:val="en-US"/>
        </w:rPr>
      </w:pPr>
      <w:r w:rsidRPr="004D2C69">
        <w:rPr>
          <w:lang w:val="en-US"/>
        </w:rPr>
        <w:t>PRESS</w:t>
      </w:r>
      <w:r w:rsidR="006911AC" w:rsidRPr="004D2C69">
        <w:rPr>
          <w:lang w:val="en-US"/>
        </w:rPr>
        <w:t xml:space="preserve"> RELEASE</w:t>
      </w:r>
    </w:p>
    <w:p w14:paraId="595C2A2C" w14:textId="77777777" w:rsidR="00F02A06" w:rsidRPr="004D2C69" w:rsidRDefault="00F02A06">
      <w:pPr>
        <w:rPr>
          <w:sz w:val="28"/>
          <w:szCs w:val="28"/>
          <w:lang w:val="en-US"/>
        </w:rPr>
      </w:pPr>
    </w:p>
    <w:p w14:paraId="3C22B919" w14:textId="77777777" w:rsidR="004D2C69" w:rsidRPr="00CA3629" w:rsidRDefault="004D2C69" w:rsidP="004D2C69">
      <w:pPr>
        <w:rPr>
          <w:b/>
          <w:bCs/>
          <w:lang w:val="en-US"/>
        </w:rPr>
      </w:pPr>
      <w:r w:rsidRPr="00CA3629">
        <w:rPr>
          <w:b/>
          <w:bCs/>
          <w:lang w:val="en-US"/>
        </w:rPr>
        <w:t xml:space="preserve">XD </w:t>
      </w:r>
      <w:r>
        <w:rPr>
          <w:b/>
          <w:bCs/>
          <w:lang w:val="en-US"/>
        </w:rPr>
        <w:t>s</w:t>
      </w:r>
      <w:r w:rsidRPr="00CA3629">
        <w:rPr>
          <w:b/>
          <w:bCs/>
          <w:lang w:val="en-US"/>
        </w:rPr>
        <w:t xml:space="preserve">eries: </w:t>
      </w:r>
      <w:r>
        <w:rPr>
          <w:b/>
          <w:bCs/>
          <w:lang w:val="en-US"/>
        </w:rPr>
        <w:t>R</w:t>
      </w:r>
      <w:r w:rsidRPr="00CA3629">
        <w:rPr>
          <w:b/>
          <w:bCs/>
          <w:lang w:val="en-US"/>
        </w:rPr>
        <w:t xml:space="preserve">educing costs </w:t>
      </w:r>
      <w:r>
        <w:rPr>
          <w:b/>
          <w:bCs/>
          <w:lang w:val="en-US"/>
        </w:rPr>
        <w:t xml:space="preserve">and risks </w:t>
      </w:r>
      <w:r w:rsidRPr="00CA3629">
        <w:rPr>
          <w:b/>
          <w:bCs/>
          <w:lang w:val="en-US"/>
        </w:rPr>
        <w:t xml:space="preserve">with </w:t>
      </w:r>
      <w:r w:rsidRPr="00112B58">
        <w:rPr>
          <w:b/>
          <w:bCs/>
          <w:lang w:val="en-US"/>
        </w:rPr>
        <w:t>barcoded method recognition</w:t>
      </w:r>
    </w:p>
    <w:p w14:paraId="1B23CC46" w14:textId="77777777" w:rsidR="004D2C69" w:rsidRPr="0096117E" w:rsidRDefault="004D2C69" w:rsidP="004D2C69">
      <w:pPr>
        <w:rPr>
          <w:lang w:val="en-US"/>
        </w:rPr>
      </w:pPr>
    </w:p>
    <w:p w14:paraId="58FF5D93" w14:textId="754C88A1" w:rsidR="004D2C69" w:rsidRPr="00C728BA" w:rsidRDefault="004D2C69" w:rsidP="004D2C69">
      <w:pPr>
        <w:spacing w:after="120"/>
        <w:rPr>
          <w:lang w:val="en-US"/>
        </w:rPr>
      </w:pPr>
      <w:r w:rsidRPr="00C728BA">
        <w:rPr>
          <w:lang w:val="en-US"/>
        </w:rPr>
        <w:t xml:space="preserve">Laboratory controls are in high demand and </w:t>
      </w:r>
      <w:r>
        <w:rPr>
          <w:lang w:val="en-US"/>
        </w:rPr>
        <w:t>water hygiene</w:t>
      </w:r>
      <w:r w:rsidRPr="00C728BA">
        <w:rPr>
          <w:lang w:val="en-US"/>
        </w:rPr>
        <w:t xml:space="preserve"> is </w:t>
      </w:r>
      <w:r>
        <w:rPr>
          <w:lang w:val="en-US"/>
        </w:rPr>
        <w:t>essential</w:t>
      </w:r>
      <w:r w:rsidRPr="00C728BA">
        <w:rPr>
          <w:lang w:val="en-US"/>
        </w:rPr>
        <w:t xml:space="preserve">. The </w:t>
      </w:r>
      <w:r>
        <w:rPr>
          <w:lang w:val="en-US"/>
        </w:rPr>
        <w:t xml:space="preserve">spectrophotometers of the XD series are reliable tools and </w:t>
      </w:r>
      <w:r w:rsidRPr="00C728BA">
        <w:rPr>
          <w:lang w:val="en-US"/>
        </w:rPr>
        <w:t xml:space="preserve">offer valuable simplifications for routine controls in the laboratory as well as in industry, saving time, money and </w:t>
      </w:r>
      <w:r>
        <w:rPr>
          <w:lang w:val="en-US"/>
        </w:rPr>
        <w:t>work capacities</w:t>
      </w:r>
      <w:r w:rsidRPr="00C728BA">
        <w:rPr>
          <w:lang w:val="en-US"/>
        </w:rPr>
        <w:t>. With barcoded tube tests, the XD 7000 and XD 7500 automatically select the method.</w:t>
      </w:r>
    </w:p>
    <w:p w14:paraId="7216DE40" w14:textId="142271B1" w:rsidR="004D2C69" w:rsidRPr="00C728BA" w:rsidRDefault="004D2C69" w:rsidP="004D2C69">
      <w:pPr>
        <w:spacing w:after="120"/>
        <w:rPr>
          <w:lang w:val="en-US"/>
        </w:rPr>
      </w:pPr>
      <w:r w:rsidRPr="00C728BA">
        <w:rPr>
          <w:lang w:val="en-US"/>
        </w:rPr>
        <w:t xml:space="preserve">Simply insert the 16 mm cuvettes into the measuring chamber and the instrument automatically starts the correct test method. The spectrophotometers also automatically </w:t>
      </w:r>
      <w:proofErr w:type="spellStart"/>
      <w:r>
        <w:rPr>
          <w:lang w:val="en-US"/>
        </w:rPr>
        <w:t>recognise</w:t>
      </w:r>
      <w:proofErr w:type="spellEnd"/>
      <w:r w:rsidRPr="00C728BA">
        <w:rPr>
          <w:lang w:val="en-US"/>
        </w:rPr>
        <w:t xml:space="preserve"> which cuvette size</w:t>
      </w:r>
      <w:r>
        <w:rPr>
          <w:lang w:val="en-US"/>
        </w:rPr>
        <w:t xml:space="preserve"> </w:t>
      </w:r>
      <w:r w:rsidRPr="00C728BA">
        <w:rPr>
          <w:lang w:val="en-US"/>
        </w:rPr>
        <w:t>has been used.</w:t>
      </w:r>
    </w:p>
    <w:p w14:paraId="617560E5" w14:textId="087047AE" w:rsidR="004D2C69" w:rsidRDefault="004D2C69" w:rsidP="004D2C69">
      <w:pPr>
        <w:spacing w:after="120"/>
        <w:rPr>
          <w:lang w:val="en-US"/>
        </w:rPr>
      </w:pPr>
      <w:r w:rsidRPr="00C728BA">
        <w:rPr>
          <w:lang w:val="en-US"/>
        </w:rPr>
        <w:t>More than 150 methods including barcodes are pre-programmed and can be selected directly in the Lovibond</w:t>
      </w:r>
      <w:r>
        <w:rPr>
          <w:lang w:val="en-US"/>
        </w:rPr>
        <w:t>®</w:t>
      </w:r>
      <w:r w:rsidRPr="00C728BA">
        <w:rPr>
          <w:lang w:val="en-US"/>
        </w:rPr>
        <w:t xml:space="preserve"> Handbook of Methods and on reagent packages with the external barcode reader. </w:t>
      </w:r>
      <w:r>
        <w:rPr>
          <w:lang w:val="en-US"/>
        </w:rPr>
        <w:t>By</w:t>
      </w:r>
      <w:r w:rsidRPr="00C728BA">
        <w:rPr>
          <w:lang w:val="en-US"/>
        </w:rPr>
        <w:t xml:space="preserve"> includ</w:t>
      </w:r>
      <w:r>
        <w:rPr>
          <w:lang w:val="en-US"/>
        </w:rPr>
        <w:t>ing</w:t>
      </w:r>
      <w:r w:rsidRPr="00C728BA">
        <w:rPr>
          <w:lang w:val="en-US"/>
        </w:rPr>
        <w:t xml:space="preserve"> the barcodes in </w:t>
      </w:r>
      <w:r>
        <w:rPr>
          <w:lang w:val="en-US"/>
        </w:rPr>
        <w:t>your</w:t>
      </w:r>
      <w:r w:rsidRPr="00C728BA">
        <w:rPr>
          <w:lang w:val="en-US"/>
        </w:rPr>
        <w:t xml:space="preserve"> own </w:t>
      </w:r>
      <w:r>
        <w:rPr>
          <w:lang w:val="en-US"/>
        </w:rPr>
        <w:t xml:space="preserve">standard operating </w:t>
      </w:r>
      <w:proofErr w:type="gramStart"/>
      <w:r w:rsidRPr="00C728BA">
        <w:rPr>
          <w:lang w:val="en-US"/>
        </w:rPr>
        <w:t>documents</w:t>
      </w:r>
      <w:proofErr w:type="gramEnd"/>
      <w:r w:rsidRPr="00C728BA">
        <w:rPr>
          <w:lang w:val="en-US"/>
        </w:rPr>
        <w:t xml:space="preserve"> </w:t>
      </w:r>
      <w:r>
        <w:rPr>
          <w:lang w:val="en-US"/>
        </w:rPr>
        <w:t>you can</w:t>
      </w:r>
      <w:r w:rsidRPr="00C728BA">
        <w:rPr>
          <w:lang w:val="en-US"/>
        </w:rPr>
        <w:t xml:space="preserve"> make </w:t>
      </w:r>
      <w:r>
        <w:rPr>
          <w:lang w:val="en-US"/>
        </w:rPr>
        <w:t>your</w:t>
      </w:r>
      <w:r w:rsidRPr="00C728BA">
        <w:rPr>
          <w:lang w:val="en-US"/>
        </w:rPr>
        <w:t xml:space="preserve"> work easier and simplify routine procedures. </w:t>
      </w:r>
    </w:p>
    <w:p w14:paraId="4861862A" w14:textId="17D22E72" w:rsidR="004D2C69" w:rsidRPr="00C728BA" w:rsidRDefault="004D2C69" w:rsidP="004D2C69">
      <w:pPr>
        <w:rPr>
          <w:lang w:val="en-US"/>
        </w:rPr>
      </w:pPr>
      <w:r w:rsidRPr="00C728BA">
        <w:rPr>
          <w:lang w:val="en-US"/>
        </w:rPr>
        <w:t>User-defined methods can also be stored and polynomials can be inte</w:t>
      </w:r>
      <w:bookmarkStart w:id="0" w:name="_GoBack"/>
      <w:bookmarkEnd w:id="0"/>
      <w:r w:rsidRPr="00C728BA">
        <w:rPr>
          <w:lang w:val="en-US"/>
        </w:rPr>
        <w:t>grated. Integrated support of measures for analytical quality assurance means that special attention is paid to Good Laboratory Practice (GLP)</w:t>
      </w:r>
      <w:r>
        <w:rPr>
          <w:lang w:val="en-US"/>
        </w:rPr>
        <w:t>.</w:t>
      </w:r>
      <w:r w:rsidRPr="00C728BA">
        <w:rPr>
          <w:lang w:val="en-US"/>
        </w:rPr>
        <w:t xml:space="preserve"> </w:t>
      </w:r>
      <w:r>
        <w:rPr>
          <w:lang w:val="en-US"/>
        </w:rPr>
        <w:t>U</w:t>
      </w:r>
      <w:r w:rsidRPr="00C728BA">
        <w:rPr>
          <w:lang w:val="en-US"/>
        </w:rPr>
        <w:t xml:space="preserve">p to 3 user levels can be set up </w:t>
      </w:r>
      <w:r>
        <w:rPr>
          <w:lang w:val="en-US"/>
        </w:rPr>
        <w:t>with</w:t>
      </w:r>
      <w:r w:rsidRPr="00C728BA">
        <w:rPr>
          <w:lang w:val="en-US"/>
        </w:rPr>
        <w:t xml:space="preserve"> different </w:t>
      </w:r>
      <w:r>
        <w:rPr>
          <w:lang w:val="en-US"/>
        </w:rPr>
        <w:t>access to the system</w:t>
      </w:r>
      <w:r w:rsidRPr="00C728BA">
        <w:rPr>
          <w:lang w:val="en-US"/>
        </w:rPr>
        <w:t>. Guidelines and quality standards can be perfectly integrated</w:t>
      </w:r>
      <w:r>
        <w:rPr>
          <w:lang w:val="en-US"/>
        </w:rPr>
        <w:t xml:space="preserve"> and provide increased security</w:t>
      </w:r>
      <w:r w:rsidRPr="00C728BA">
        <w:rPr>
          <w:lang w:val="en-US"/>
        </w:rPr>
        <w:t xml:space="preserve">. </w:t>
      </w:r>
    </w:p>
    <w:p w14:paraId="2B112691" w14:textId="6064D87D" w:rsidR="006911AC" w:rsidRPr="00BF7487" w:rsidRDefault="004D2C69" w:rsidP="004D2C69">
      <w:pPr>
        <w:spacing w:before="120" w:after="120"/>
        <w:rPr>
          <w:lang w:val="en-US"/>
        </w:rPr>
      </w:pPr>
      <w:r w:rsidRPr="00FB1938">
        <w:rPr>
          <w:lang w:val="en-US"/>
        </w:rPr>
        <w:t>Lovibond</w:t>
      </w:r>
      <w:r>
        <w:rPr>
          <w:lang w:val="en-US"/>
        </w:rPr>
        <w:t>®</w:t>
      </w:r>
      <w:r w:rsidRPr="00FB1938">
        <w:rPr>
          <w:lang w:val="en-US"/>
        </w:rPr>
        <w:t xml:space="preserve"> </w:t>
      </w:r>
      <w:r>
        <w:rPr>
          <w:lang w:val="en-US"/>
        </w:rPr>
        <w:t xml:space="preserve">develops and </w:t>
      </w:r>
      <w:r w:rsidRPr="00FB1938">
        <w:rPr>
          <w:lang w:val="en-US"/>
        </w:rPr>
        <w:t xml:space="preserve">manufactures the reagents </w:t>
      </w:r>
      <w:r>
        <w:rPr>
          <w:lang w:val="en-US"/>
        </w:rPr>
        <w:t>in-house</w:t>
      </w:r>
      <w:r w:rsidRPr="00FB1938">
        <w:rPr>
          <w:lang w:val="en-US"/>
        </w:rPr>
        <w:t xml:space="preserve"> and can therefore offer the full analytical competence and quality you expect. </w:t>
      </w:r>
      <w:r w:rsidRPr="00C728BA">
        <w:rPr>
          <w:lang w:val="en-US"/>
        </w:rPr>
        <w:t xml:space="preserve">This means that anyone who uses </w:t>
      </w:r>
      <w:r>
        <w:rPr>
          <w:lang w:val="en-US"/>
        </w:rPr>
        <w:t>our</w:t>
      </w:r>
      <w:r w:rsidRPr="00C728BA">
        <w:rPr>
          <w:lang w:val="en-US"/>
        </w:rPr>
        <w:t xml:space="preserve"> </w:t>
      </w:r>
      <w:r w:rsidRPr="00FB1938">
        <w:rPr>
          <w:lang w:val="en-US"/>
        </w:rPr>
        <w:t>Lovibond</w:t>
      </w:r>
      <w:r>
        <w:rPr>
          <w:lang w:val="en-US"/>
        </w:rPr>
        <w:t xml:space="preserve">® </w:t>
      </w:r>
      <w:r w:rsidRPr="00C728BA">
        <w:rPr>
          <w:lang w:val="en-US"/>
        </w:rPr>
        <w:t>UV and UV/VIS spectrophotometers in a wide range of applications can obtain everything from a single source - from the instrument to the reagents and accessories</w:t>
      </w:r>
      <w:r w:rsidRPr="00FB1938">
        <w:rPr>
          <w:lang w:val="en-US"/>
        </w:rPr>
        <w:t xml:space="preserve"> </w:t>
      </w:r>
      <w:r>
        <w:rPr>
          <w:lang w:val="en-US"/>
        </w:rPr>
        <w:t>which reduce</w:t>
      </w:r>
      <w:r w:rsidRPr="00FB1938">
        <w:rPr>
          <w:lang w:val="en-US"/>
        </w:rPr>
        <w:t xml:space="preserve"> total cost of ownership.</w:t>
      </w:r>
    </w:p>
    <w:p w14:paraId="2DB551AD" w14:textId="6B7DDB83" w:rsidR="0062034B" w:rsidRPr="006911AC" w:rsidRDefault="006911AC" w:rsidP="006911AC">
      <w:pPr>
        <w:spacing w:before="120" w:after="120"/>
        <w:rPr>
          <w:lang w:val="en-US"/>
        </w:rPr>
      </w:pPr>
      <w:r w:rsidRPr="00BF7487">
        <w:rPr>
          <w:lang w:val="en-US"/>
        </w:rPr>
        <w:t xml:space="preserve">More information about the XD series from Lovibond® can be found on the </w:t>
      </w:r>
      <w:r>
        <w:rPr>
          <w:lang w:val="en-US"/>
        </w:rPr>
        <w:t xml:space="preserve">website </w:t>
      </w:r>
      <w:r w:rsidRPr="00BF7487">
        <w:rPr>
          <w:lang w:val="en-US"/>
        </w:rPr>
        <w:t>lovibond.com.</w:t>
      </w:r>
    </w:p>
    <w:p w14:paraId="13366760" w14:textId="77777777" w:rsidR="006911AC" w:rsidRDefault="006911AC" w:rsidP="006911AC">
      <w:pPr>
        <w:spacing w:after="120"/>
        <w:rPr>
          <w:i/>
          <w:sz w:val="22"/>
          <w:szCs w:val="22"/>
          <w:lang w:val="en-US"/>
        </w:rPr>
      </w:pPr>
      <w:r w:rsidRPr="00A40326">
        <w:rPr>
          <w:i/>
          <w:sz w:val="22"/>
          <w:szCs w:val="22"/>
          <w:lang w:val="en-US"/>
        </w:rPr>
        <w:t xml:space="preserve">Besides: This press release of course is offered digitally – in our new press area </w:t>
      </w:r>
      <w:r>
        <w:rPr>
          <w:i/>
          <w:sz w:val="22"/>
          <w:szCs w:val="22"/>
          <w:lang w:val="en-US"/>
        </w:rPr>
        <w:t xml:space="preserve">on our homepage. </w:t>
      </w:r>
    </w:p>
    <w:p w14:paraId="0998850C" w14:textId="77777777" w:rsidR="00CA5299" w:rsidRPr="006911AC" w:rsidRDefault="00CA5299">
      <w:pPr>
        <w:rPr>
          <w:lang w:val="en-US"/>
        </w:rPr>
      </w:pPr>
    </w:p>
    <w:p w14:paraId="2E6893A9" w14:textId="77777777" w:rsidR="006911AC" w:rsidRPr="006911AC" w:rsidRDefault="006911AC" w:rsidP="006911AC">
      <w:pPr>
        <w:rPr>
          <w:b/>
          <w:sz w:val="22"/>
          <w:szCs w:val="22"/>
          <w:lang w:val="en-US"/>
        </w:rPr>
      </w:pPr>
      <w:r w:rsidRPr="006911AC">
        <w:rPr>
          <w:b/>
          <w:sz w:val="22"/>
          <w:szCs w:val="22"/>
          <w:lang w:val="en-US"/>
        </w:rPr>
        <w:t>About Tintometer® GmbH</w:t>
      </w:r>
    </w:p>
    <w:p w14:paraId="5B438F94" w14:textId="77777777" w:rsidR="006911AC" w:rsidRPr="006911AC" w:rsidRDefault="006911AC" w:rsidP="006911AC">
      <w:pPr>
        <w:jc w:val="both"/>
        <w:rPr>
          <w:rFonts w:cs="Arial"/>
          <w:color w:val="000000"/>
          <w:sz w:val="18"/>
          <w:szCs w:val="18"/>
          <w:lang w:val="en-US"/>
        </w:rPr>
      </w:pPr>
      <w:r w:rsidRPr="006911AC">
        <w:rPr>
          <w:rFonts w:cs="Arial"/>
          <w:color w:val="000000"/>
          <w:sz w:val="18"/>
          <w:szCs w:val="18"/>
          <w:lang w:val="en-US"/>
        </w:rPr>
        <w:t xml:space="preserve">Since more than 130 years water and </w:t>
      </w:r>
      <w:proofErr w:type="spellStart"/>
      <w:r w:rsidRPr="006911AC">
        <w:rPr>
          <w:rFonts w:cs="Arial"/>
          <w:color w:val="000000"/>
          <w:sz w:val="18"/>
          <w:szCs w:val="18"/>
          <w:lang w:val="en-US"/>
        </w:rPr>
        <w:t>colour</w:t>
      </w:r>
      <w:proofErr w:type="spellEnd"/>
      <w:r w:rsidRPr="006911AC">
        <w:rPr>
          <w:rFonts w:cs="Arial"/>
          <w:color w:val="000000"/>
          <w:sz w:val="18"/>
          <w:szCs w:val="18"/>
          <w:lang w:val="en-US"/>
        </w:rPr>
        <w:t xml:space="preserve"> are the focuses of the family company. The instruments and detection methods are developed, produced and distributed worldwide by Tintometer® and provide the basis for </w:t>
      </w:r>
      <w:proofErr w:type="spellStart"/>
      <w:r w:rsidRPr="006911AC">
        <w:rPr>
          <w:rFonts w:cs="Arial"/>
          <w:color w:val="000000"/>
          <w:sz w:val="18"/>
          <w:szCs w:val="18"/>
          <w:lang w:val="en-US"/>
        </w:rPr>
        <w:t>realiable</w:t>
      </w:r>
      <w:proofErr w:type="spellEnd"/>
      <w:r w:rsidRPr="006911AC">
        <w:rPr>
          <w:rFonts w:cs="Arial"/>
          <w:color w:val="000000"/>
          <w:sz w:val="18"/>
          <w:szCs w:val="18"/>
          <w:lang w:val="en-US"/>
        </w:rPr>
        <w:t xml:space="preserve"> and </w:t>
      </w:r>
      <w:proofErr w:type="gramStart"/>
      <w:r w:rsidRPr="006911AC">
        <w:rPr>
          <w:rFonts w:cs="Arial"/>
          <w:color w:val="000000"/>
          <w:sz w:val="18"/>
          <w:szCs w:val="18"/>
          <w:lang w:val="en-US"/>
        </w:rPr>
        <w:t>high quality</w:t>
      </w:r>
      <w:proofErr w:type="gramEnd"/>
      <w:r w:rsidRPr="006911AC">
        <w:rPr>
          <w:rFonts w:cs="Arial"/>
          <w:color w:val="000000"/>
          <w:sz w:val="18"/>
          <w:szCs w:val="18"/>
          <w:lang w:val="en-US"/>
        </w:rPr>
        <w:t xml:space="preserve"> measurements which assure fast and save results of analysis in most areas of life. Thereby solutions are developed which are demanded as well in industries as in water works, sewage plants, in pools, in environment or in research. </w:t>
      </w:r>
    </w:p>
    <w:p w14:paraId="35BB6B6A" w14:textId="67F5C997" w:rsidR="0015178F" w:rsidRPr="006911AC" w:rsidRDefault="0015178F" w:rsidP="006911AC">
      <w:pPr>
        <w:rPr>
          <w:rFonts w:cs="Arial"/>
          <w:color w:val="000000"/>
          <w:sz w:val="18"/>
          <w:szCs w:val="18"/>
          <w:lang w:val="en-US"/>
        </w:rPr>
      </w:pPr>
    </w:p>
    <w:sectPr w:rsidR="0015178F" w:rsidRPr="006911AC" w:rsidSect="00A668B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8EC56" w14:textId="77777777" w:rsidR="00B765E2" w:rsidRDefault="00B765E2" w:rsidP="004D2CFE">
      <w:r>
        <w:separator/>
      </w:r>
    </w:p>
  </w:endnote>
  <w:endnote w:type="continuationSeparator" w:id="0">
    <w:p w14:paraId="5D744650" w14:textId="77777777" w:rsidR="00B765E2" w:rsidRDefault="00B765E2"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8EFAA" w14:textId="77777777" w:rsidR="00B765E2" w:rsidRDefault="00B765E2" w:rsidP="004D2CFE">
      <w:r>
        <w:separator/>
      </w:r>
    </w:p>
  </w:footnote>
  <w:footnote w:type="continuationSeparator" w:id="0">
    <w:p w14:paraId="55EBF3E8" w14:textId="77777777" w:rsidR="00B765E2" w:rsidRDefault="00B765E2"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B52F5"/>
    <w:rsid w:val="00404978"/>
    <w:rsid w:val="00421909"/>
    <w:rsid w:val="0047103B"/>
    <w:rsid w:val="004737B5"/>
    <w:rsid w:val="004878A1"/>
    <w:rsid w:val="004D2C69"/>
    <w:rsid w:val="004D2CFE"/>
    <w:rsid w:val="00516040"/>
    <w:rsid w:val="00534607"/>
    <w:rsid w:val="005A10C5"/>
    <w:rsid w:val="005A633F"/>
    <w:rsid w:val="005A7FCA"/>
    <w:rsid w:val="005B1948"/>
    <w:rsid w:val="005F4638"/>
    <w:rsid w:val="00600DE7"/>
    <w:rsid w:val="0062034B"/>
    <w:rsid w:val="006712FB"/>
    <w:rsid w:val="006911AC"/>
    <w:rsid w:val="00692BAB"/>
    <w:rsid w:val="006939FD"/>
    <w:rsid w:val="006B0E94"/>
    <w:rsid w:val="006C097D"/>
    <w:rsid w:val="00707D2E"/>
    <w:rsid w:val="007434B7"/>
    <w:rsid w:val="007E6E5C"/>
    <w:rsid w:val="008A24DC"/>
    <w:rsid w:val="008A5B62"/>
    <w:rsid w:val="00935CF1"/>
    <w:rsid w:val="00975B73"/>
    <w:rsid w:val="009B7FC9"/>
    <w:rsid w:val="00A1715C"/>
    <w:rsid w:val="00A22303"/>
    <w:rsid w:val="00A40326"/>
    <w:rsid w:val="00A56D3F"/>
    <w:rsid w:val="00A668B0"/>
    <w:rsid w:val="00A942CB"/>
    <w:rsid w:val="00AB4DF5"/>
    <w:rsid w:val="00AD3042"/>
    <w:rsid w:val="00B42A4E"/>
    <w:rsid w:val="00B637CB"/>
    <w:rsid w:val="00B765E2"/>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2</cp:revision>
  <cp:lastPrinted>2018-06-18T08:35:00Z</cp:lastPrinted>
  <dcterms:created xsi:type="dcterms:W3CDTF">2020-06-16T11:20:00Z</dcterms:created>
  <dcterms:modified xsi:type="dcterms:W3CDTF">2020-06-16T11:20:00Z</dcterms:modified>
</cp:coreProperties>
</file>