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77777777" w:rsidR="00F02A06" w:rsidRDefault="00F02A06">
      <w:pPr>
        <w:rPr>
          <w:sz w:val="28"/>
          <w:szCs w:val="28"/>
        </w:rPr>
      </w:pPr>
    </w:p>
    <w:p w14:paraId="04B7A174" w14:textId="77777777" w:rsidR="00CD56D0" w:rsidRPr="00E14FC0" w:rsidRDefault="00CD56D0" w:rsidP="00CD56D0">
      <w:pPr>
        <w:spacing w:after="120"/>
        <w:rPr>
          <w:u w:val="single"/>
        </w:rPr>
      </w:pPr>
      <w:r w:rsidRPr="00E14FC0">
        <w:rPr>
          <w:u w:val="single"/>
        </w:rPr>
        <w:t xml:space="preserve">Klarer Gewinn für die Trübungsmessung mit Lovibond® </w:t>
      </w:r>
    </w:p>
    <w:p w14:paraId="13B988BB" w14:textId="77777777" w:rsidR="00CD56D0" w:rsidRPr="00EC4E7B" w:rsidRDefault="00CD56D0" w:rsidP="00CD56D0">
      <w:pPr>
        <w:rPr>
          <w:b/>
          <w:bCs/>
          <w:sz w:val="28"/>
          <w:szCs w:val="28"/>
        </w:rPr>
      </w:pPr>
      <w:r w:rsidRPr="00EC4E7B">
        <w:rPr>
          <w:b/>
          <w:bCs/>
          <w:sz w:val="28"/>
          <w:szCs w:val="28"/>
        </w:rPr>
        <w:t xml:space="preserve">TB350 mit neuer Sensortechnologie und mobiler Laborgenauigkeit </w:t>
      </w:r>
    </w:p>
    <w:p w14:paraId="4FBF1A24" w14:textId="77777777" w:rsidR="00CD56D0" w:rsidRDefault="00CD56D0" w:rsidP="00CD56D0"/>
    <w:p w14:paraId="715AB75C" w14:textId="6E49F84A" w:rsidR="00CD56D0" w:rsidRDefault="00CD56D0" w:rsidP="00CD56D0">
      <w:r>
        <w:t xml:space="preserve">Mit wenigen Handgriffen sind Ergebnisse mit der Genauigkeit von Laborgeräten jetzt auch tragbar zur Hand. Und im Labor können Wasserproben </w:t>
      </w:r>
      <w:r w:rsidR="00F4272E">
        <w:t xml:space="preserve">mit niedrigen und hohen Trübungsbereichen </w:t>
      </w:r>
      <w:r w:rsidR="009E0346">
        <w:t xml:space="preserve">ohne Verdünnung </w:t>
      </w:r>
      <w:r>
        <w:t xml:space="preserve">abgedeckt werden. Mit dem neuen TB350 von Lovibond® werden Anwender in Trinkwasseranwendungen, in der Umweltanalytik </w:t>
      </w:r>
      <w:r w:rsidR="009E0346">
        <w:t xml:space="preserve">und Laboren </w:t>
      </w:r>
      <w:r>
        <w:t xml:space="preserve">flexibler denn je. Die alltäglichen </w:t>
      </w:r>
      <w:r w:rsidR="00F4272E">
        <w:t>Herausforderungen</w:t>
      </w:r>
      <w:r>
        <w:t xml:space="preserve"> der Trübungsmessung wie Messungenauigkeiten durch Streulicht, komplizierter Handhabung und aufwändige Kalibrierung </w:t>
      </w:r>
      <w:r w:rsidR="00F4272E">
        <w:t xml:space="preserve">werden </w:t>
      </w:r>
      <w:r w:rsidR="009E0346">
        <w:t>eliminiert</w:t>
      </w:r>
      <w:r>
        <w:t xml:space="preserve">. Das TB350 ist das modernste tragbare Trübungsmessgerät auf dem Markt – mit brandneuer Technologie, </w:t>
      </w:r>
      <w:r w:rsidRPr="00385568">
        <w:t>beispiellosem</w:t>
      </w:r>
      <w:r w:rsidRPr="00704FCD">
        <w:t xml:space="preserve"> </w:t>
      </w:r>
      <w:r>
        <w:t>Messbereich und bislang unerreichter Genauigkeit.</w:t>
      </w:r>
    </w:p>
    <w:p w14:paraId="40392DEC" w14:textId="77777777" w:rsidR="00CD56D0" w:rsidRDefault="00CD56D0" w:rsidP="00CD56D0"/>
    <w:p w14:paraId="6CA386FB" w14:textId="71942D63" w:rsidR="00CD56D0" w:rsidRDefault="00CD56D0" w:rsidP="00CD56D0">
      <w:proofErr w:type="spellStart"/>
      <w:r>
        <w:t>Multipath</w:t>
      </w:r>
      <w:proofErr w:type="spellEnd"/>
      <w:r>
        <w:t xml:space="preserve"> 90° BLAC</w:t>
      </w:r>
      <w:r w:rsidR="00F4272E">
        <w:t>®</w:t>
      </w:r>
      <w:r>
        <w:t xml:space="preserve"> heißt die neue, </w:t>
      </w:r>
      <w:r w:rsidR="00F4272E">
        <w:t>patentierte</w:t>
      </w:r>
      <w:r>
        <w:t xml:space="preserve"> Sensortechnologie. Sie macht das TB350 einzigartig und zum vielseitigsten Trübungsmessgerät, mit dem Laborgenauigkeit tragbar wird. Die Besonderheit: Höchste Genauigkeit ist im niedrigsten Trübungsbereich ab 0,01 NTU gewährleistet und hält auch im höchsten Trübungsbereich bis 4.000 NTU das herausragende Präzisionsniveau.  </w:t>
      </w:r>
    </w:p>
    <w:p w14:paraId="587E39A0" w14:textId="77777777" w:rsidR="00CD56D0" w:rsidRDefault="00CD56D0" w:rsidP="00CD56D0"/>
    <w:p w14:paraId="7D75A56F" w14:textId="241E2AE8" w:rsidR="00CD56D0" w:rsidRDefault="00CD56D0" w:rsidP="00CD56D0">
      <w:r w:rsidRPr="001F3752">
        <w:t xml:space="preserve">Das </w:t>
      </w:r>
      <w:r w:rsidR="009E0346">
        <w:t xml:space="preserve">erstmalig </w:t>
      </w:r>
      <w:r w:rsidRPr="001F3752">
        <w:t xml:space="preserve">entwickelte optische System arbeitet mit zwei ausgeklügelt angeordneten 90°-Detektoren </w:t>
      </w:r>
      <w:r w:rsidR="009E0346">
        <w:t xml:space="preserve">und sichert so ein rein </w:t>
      </w:r>
      <w:proofErr w:type="spellStart"/>
      <w:r w:rsidR="009E0346">
        <w:t>nephelometrisches</w:t>
      </w:r>
      <w:proofErr w:type="spellEnd"/>
      <w:r w:rsidR="009E0346">
        <w:t xml:space="preserve"> Messprinzip</w:t>
      </w:r>
      <w:r w:rsidRPr="001F3752">
        <w:t>.</w:t>
      </w:r>
      <w:r>
        <w:t xml:space="preserve"> Da</w:t>
      </w:r>
      <w:r w:rsidR="009E0346">
        <w:t>bei</w:t>
      </w:r>
      <w:r>
        <w:t xml:space="preserve"> werden </w:t>
      </w:r>
      <w:r w:rsidR="009E0346">
        <w:t xml:space="preserve">während der Trübungsmessung zwei </w:t>
      </w:r>
      <w:r>
        <w:t xml:space="preserve">unterschiedliche Weglängen der Eingangsstrahlung </w:t>
      </w:r>
      <w:r w:rsidR="009E0346">
        <w:t>durch</w:t>
      </w:r>
      <w:r>
        <w:t xml:space="preserve"> die Probe intelligent </w:t>
      </w:r>
      <w:r w:rsidR="009E0346">
        <w:t>aus</w:t>
      </w:r>
      <w:r>
        <w:t xml:space="preserve">genutzt. </w:t>
      </w:r>
      <w:r w:rsidR="009E0346">
        <w:t>Verschiedene</w:t>
      </w:r>
      <w:r>
        <w:t xml:space="preserve"> </w:t>
      </w:r>
      <w:r w:rsidRPr="001F3752">
        <w:t xml:space="preserve">Partikelgrößen und -formen </w:t>
      </w:r>
      <w:r>
        <w:t xml:space="preserve">werden so mit </w:t>
      </w:r>
      <w:r w:rsidR="00F4272E">
        <w:t>höchster</w:t>
      </w:r>
      <w:r>
        <w:t xml:space="preserve"> Messgenauigkeit erfasst – auch dort, wo die</w:t>
      </w:r>
      <w:r w:rsidRPr="001F3752">
        <w:t xml:space="preserve"> Partikelgrößenverteilung vom Kalibrierstandard abweicht. </w:t>
      </w:r>
    </w:p>
    <w:p w14:paraId="25588C43" w14:textId="77777777" w:rsidR="00CD56D0" w:rsidRPr="001F3752" w:rsidRDefault="00CD56D0" w:rsidP="00CD56D0"/>
    <w:p w14:paraId="5109A069" w14:textId="0CE2D71D" w:rsidR="00CD56D0" w:rsidRDefault="00CD56D0" w:rsidP="00CD56D0">
      <w:r w:rsidRPr="001F3752">
        <w:t xml:space="preserve">Die </w:t>
      </w:r>
      <w:r w:rsidR="00F770E9">
        <w:t>einzigartige</w:t>
      </w:r>
      <w:r w:rsidRPr="001F3752">
        <w:t xml:space="preserve"> BLAC</w:t>
      </w:r>
      <w:r w:rsidR="00F4272E">
        <w:t>®</w:t>
      </w:r>
      <w:r w:rsidRPr="001F3752">
        <w:t xml:space="preserve">-Technologie steht für </w:t>
      </w:r>
      <w:proofErr w:type="spellStart"/>
      <w:r w:rsidRPr="00A55E9A">
        <w:rPr>
          <w:b/>
          <w:bCs/>
        </w:rPr>
        <w:t>B</w:t>
      </w:r>
      <w:r w:rsidRPr="001F3752">
        <w:t>ackscattered</w:t>
      </w:r>
      <w:proofErr w:type="spellEnd"/>
      <w:r w:rsidRPr="001F3752">
        <w:t xml:space="preserve"> </w:t>
      </w:r>
      <w:r w:rsidRPr="00A55E9A">
        <w:rPr>
          <w:b/>
          <w:bCs/>
        </w:rPr>
        <w:t>L</w:t>
      </w:r>
      <w:r w:rsidRPr="001F3752">
        <w:t xml:space="preserve">ight </w:t>
      </w:r>
      <w:proofErr w:type="spellStart"/>
      <w:r w:rsidRPr="00A55E9A">
        <w:rPr>
          <w:b/>
          <w:bCs/>
        </w:rPr>
        <w:t>A</w:t>
      </w:r>
      <w:r w:rsidRPr="001F3752">
        <w:t>bsorbing</w:t>
      </w:r>
      <w:proofErr w:type="spellEnd"/>
      <w:r w:rsidRPr="001F3752">
        <w:t xml:space="preserve"> </w:t>
      </w:r>
      <w:proofErr w:type="spellStart"/>
      <w:r w:rsidRPr="00A55E9A">
        <w:rPr>
          <w:b/>
          <w:bCs/>
        </w:rPr>
        <w:t>C</w:t>
      </w:r>
      <w:r w:rsidRPr="001F3752">
        <w:t>avity</w:t>
      </w:r>
      <w:proofErr w:type="spellEnd"/>
      <w:r w:rsidRPr="001F3752">
        <w:t xml:space="preserve">. Die lichtabsorbierende Falle eliminiert nahezu vollständig </w:t>
      </w:r>
      <w:r>
        <w:t xml:space="preserve">unerwünschtes </w:t>
      </w:r>
      <w:r w:rsidRPr="001F3752">
        <w:t xml:space="preserve">Streulicht und liefert extrem genaue Ergebnisse für niedrige Trübungen bis zu 0,01 NTU.  </w:t>
      </w:r>
    </w:p>
    <w:p w14:paraId="795BAD37" w14:textId="77777777" w:rsidR="00CD56D0" w:rsidRDefault="00CD56D0" w:rsidP="00CD56D0"/>
    <w:p w14:paraId="4D110559" w14:textId="050D76FC" w:rsidR="00CD56D0" w:rsidRDefault="00CD56D0" w:rsidP="00CD56D0">
      <w:r w:rsidRPr="001F3752">
        <w:t xml:space="preserve">Die </w:t>
      </w:r>
      <w:r w:rsidR="00F770E9">
        <w:t>neuartige</w:t>
      </w:r>
      <w:r w:rsidRPr="001F3752">
        <w:t xml:space="preserve"> Sensor-Technologie wurde von einem Team aus weltweit anerkannten </w:t>
      </w:r>
      <w:r>
        <w:t>Trübungse</w:t>
      </w:r>
      <w:r w:rsidRPr="001F3752">
        <w:t>xperten eigens entwickelt, um die gängigen Probleme der Anwender in der Trübungsmessung zu lösen. Leicht ablesbarer, farbiger Touchscreen</w:t>
      </w:r>
      <w:r>
        <w:t xml:space="preserve"> und </w:t>
      </w:r>
      <w:r w:rsidRPr="001F3752">
        <w:t xml:space="preserve">unkomplizierte Datenverwaltungsprotokolle sorgen für </w:t>
      </w:r>
      <w:r>
        <w:t>eine einfache Handhabung</w:t>
      </w:r>
      <w:r w:rsidRPr="001F3752">
        <w:t xml:space="preserve">. Animierte </w:t>
      </w:r>
      <w:r w:rsidR="00F4272E">
        <w:t>Abläufe</w:t>
      </w:r>
      <w:r w:rsidRPr="001F3752">
        <w:t xml:space="preserve"> führen durch jeden Schritt </w:t>
      </w:r>
      <w:r>
        <w:t xml:space="preserve">der </w:t>
      </w:r>
      <w:r w:rsidR="009E0346">
        <w:t>Probenvorbereitung, um Anwenderfehler zu vermeiden</w:t>
      </w:r>
      <w:r w:rsidRPr="001F3752">
        <w:t xml:space="preserve">. So ist das Gerät auch für ungeübte </w:t>
      </w:r>
      <w:r w:rsidR="009E0346">
        <w:t>Nutzer</w:t>
      </w:r>
      <w:r w:rsidRPr="001F3752">
        <w:t xml:space="preserve"> intuitiv und schnell verständlich</w:t>
      </w:r>
      <w:r>
        <w:t>, vor allem aber vielseitig und benutzerfreundlich</w:t>
      </w:r>
      <w:r w:rsidRPr="001F3752">
        <w:t xml:space="preserve">. Hinzu kommt ein spezieller Mess-Modus für sich schnell absetzende Partikel, der „Fast </w:t>
      </w:r>
      <w:proofErr w:type="spellStart"/>
      <w:r w:rsidRPr="001F3752">
        <w:t>Settling</w:t>
      </w:r>
      <w:proofErr w:type="spellEnd"/>
      <w:r w:rsidRPr="001F3752">
        <w:t xml:space="preserve"> Mode“. Er erhöht die Genauigkeit der Messungen bei großen oder schweren Partikeln</w:t>
      </w:r>
      <w:r>
        <w:t xml:space="preserve"> ab 20 NTU, insbesondere aber</w:t>
      </w:r>
      <w:r w:rsidRPr="001F3752">
        <w:t xml:space="preserve"> im hohen Messbereich bis zu 4.000 NTU. </w:t>
      </w:r>
    </w:p>
    <w:p w14:paraId="2107169A" w14:textId="77777777" w:rsidR="00CD56D0" w:rsidRPr="001F3752" w:rsidRDefault="00CD56D0" w:rsidP="00CD56D0"/>
    <w:p w14:paraId="27FAE1AC" w14:textId="77777777" w:rsidR="00CD56D0" w:rsidRDefault="00CD56D0" w:rsidP="00CD56D0">
      <w:r w:rsidRPr="001F3752">
        <w:t xml:space="preserve">So einfach wie noch nie ist mit dem TB350 die sonst in der Trübungsmessung recht umständliche Kalibrierung und Verifikation. Die </w:t>
      </w:r>
      <w:proofErr w:type="spellStart"/>
      <w:r w:rsidRPr="001F3752">
        <w:t>formazinbasierten</w:t>
      </w:r>
      <w:proofErr w:type="spellEnd"/>
      <w:r w:rsidRPr="001F3752">
        <w:t xml:space="preserve"> T-CAL</w:t>
      </w:r>
      <w:r w:rsidRPr="001F3752">
        <w:rPr>
          <w:vertAlign w:val="superscript"/>
        </w:rPr>
        <w:t>®</w:t>
      </w:r>
      <w:r w:rsidRPr="001F3752">
        <w:t xml:space="preserve"> Primärstandards sind </w:t>
      </w:r>
      <w:r>
        <w:t xml:space="preserve">sicher und </w:t>
      </w:r>
      <w:r>
        <w:lastRenderedPageBreak/>
        <w:t>luftdicht verpackt, damit sofort einsatzbereit</w:t>
      </w:r>
      <w:r w:rsidRPr="001F3752">
        <w:t xml:space="preserve">. Fehler, die durch die eigene </w:t>
      </w:r>
      <w:proofErr w:type="spellStart"/>
      <w:r w:rsidRPr="001F3752">
        <w:t>Anmischung</w:t>
      </w:r>
      <w:proofErr w:type="spellEnd"/>
      <w:r w:rsidRPr="001F3752">
        <w:t xml:space="preserve"> entstehen, werden</w:t>
      </w:r>
      <w:r>
        <w:t xml:space="preserve"> so</w:t>
      </w:r>
      <w:r w:rsidRPr="001F3752">
        <w:t xml:space="preserve"> verhindert und der Kontakt mit schädlichen Chemikalien ist ausgeschlossen.</w:t>
      </w:r>
    </w:p>
    <w:p w14:paraId="5EB04126" w14:textId="77777777" w:rsidR="00CD56D0" w:rsidRPr="001F3752" w:rsidRDefault="00CD56D0" w:rsidP="00CD56D0"/>
    <w:p w14:paraId="35DFB07D" w14:textId="4F95EF81" w:rsidR="00810234" w:rsidRDefault="00CD56D0" w:rsidP="00CD56D0">
      <w:pPr>
        <w:spacing w:after="120"/>
      </w:pPr>
      <w:r w:rsidRPr="001F3752">
        <w:t>Das neue TB350</w:t>
      </w:r>
      <w:r>
        <w:t xml:space="preserve">, erhältlich als Infrarot- oder Weißlicht-Variante, </w:t>
      </w:r>
      <w:r w:rsidRPr="001F3752">
        <w:t>ist konform mit den geltenden Vorschriften und Standards ISO</w:t>
      </w:r>
      <w:r>
        <w:t xml:space="preserve"> 7027</w:t>
      </w:r>
      <w:r w:rsidRPr="001F3752">
        <w:t xml:space="preserve"> und US EPA</w:t>
      </w:r>
      <w:bookmarkStart w:id="0" w:name="_GoBack"/>
      <w:bookmarkEnd w:id="0"/>
      <w:r w:rsidRPr="001F3752">
        <w:t>.</w:t>
      </w:r>
      <w:r w:rsidR="00F4272E">
        <w:t xml:space="preserve"> Alle Details finden Sie auf </w:t>
      </w:r>
      <w:hyperlink r:id="rId7" w:history="1">
        <w:r w:rsidR="00F4272E" w:rsidRPr="002F3AC2">
          <w:rPr>
            <w:rStyle w:val="Hyperlink"/>
          </w:rPr>
          <w:t>www.lovibond.com</w:t>
        </w:r>
      </w:hyperlink>
      <w:r w:rsidR="00F4272E">
        <w:t>.</w:t>
      </w:r>
    </w:p>
    <w:p w14:paraId="355561A7" w14:textId="77777777" w:rsidR="008A471F" w:rsidRDefault="008A471F" w:rsidP="00CD56D0">
      <w:pPr>
        <w:spacing w:after="120"/>
      </w:pPr>
    </w:p>
    <w:p w14:paraId="2BD79C6B" w14:textId="0C428D99" w:rsidR="00CA5299" w:rsidRPr="0047103B" w:rsidRDefault="00CA5299" w:rsidP="00810234">
      <w:pPr>
        <w:spacing w:after="120"/>
        <w:rPr>
          <w:i/>
          <w:sz w:val="22"/>
          <w:szCs w:val="22"/>
        </w:rPr>
      </w:pPr>
      <w:r w:rsidRPr="0047103B">
        <w:rPr>
          <w:i/>
          <w:sz w:val="22"/>
          <w:szCs w:val="22"/>
        </w:rPr>
        <w:t>Übrigens: Diese Presseinformation</w:t>
      </w:r>
      <w:r w:rsidR="006546D4">
        <w:rPr>
          <w:i/>
          <w:sz w:val="22"/>
          <w:szCs w:val="22"/>
        </w:rPr>
        <w:t xml:space="preserve"> samt Bildmaterial</w:t>
      </w:r>
      <w:r w:rsidRPr="0047103B">
        <w:rPr>
          <w:i/>
          <w:sz w:val="22"/>
          <w:szCs w:val="22"/>
        </w:rPr>
        <w:t xml:space="preserve"> finden Sie selbstverständlich auch digital – im</w:t>
      </w:r>
      <w:r w:rsidR="00AB4DF5">
        <w:rPr>
          <w:i/>
          <w:sz w:val="22"/>
          <w:szCs w:val="22"/>
        </w:rPr>
        <w:t xml:space="preserve"> </w:t>
      </w:r>
      <w:hyperlink r:id="rId8" w:history="1">
        <w:r w:rsidRPr="002D7168">
          <w:rPr>
            <w:rStyle w:val="Hyperlink"/>
            <w:i/>
            <w:sz w:val="22"/>
            <w:szCs w:val="22"/>
          </w:rPr>
          <w:t>Pressebereich</w:t>
        </w:r>
      </w:hyperlink>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D0597B">
      <w:headerReference w:type="default" r:id="rId9"/>
      <w:pgSz w:w="11900" w:h="16840"/>
      <w:pgMar w:top="1417" w:right="84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77214" w14:textId="77777777" w:rsidR="00FB7D79" w:rsidRDefault="00FB7D79" w:rsidP="004D2CFE">
      <w:r>
        <w:separator/>
      </w:r>
    </w:p>
  </w:endnote>
  <w:endnote w:type="continuationSeparator" w:id="0">
    <w:p w14:paraId="7B501044" w14:textId="77777777" w:rsidR="00FB7D79" w:rsidRDefault="00FB7D79"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8F67C" w14:textId="77777777" w:rsidR="00FB7D79" w:rsidRDefault="00FB7D79" w:rsidP="004D2CFE">
      <w:r>
        <w:separator/>
      </w:r>
    </w:p>
  </w:footnote>
  <w:footnote w:type="continuationSeparator" w:id="0">
    <w:p w14:paraId="22248A91" w14:textId="77777777" w:rsidR="00FB7D79" w:rsidRDefault="00FB7D79"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CD16D1"/>
    <w:multiLevelType w:val="hybridMultilevel"/>
    <w:tmpl w:val="1E8C3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60DD8"/>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2408DB"/>
    <w:rsid w:val="002466F9"/>
    <w:rsid w:val="00264584"/>
    <w:rsid w:val="00284B67"/>
    <w:rsid w:val="002C239A"/>
    <w:rsid w:val="002D7168"/>
    <w:rsid w:val="002F6E75"/>
    <w:rsid w:val="00304551"/>
    <w:rsid w:val="003079BB"/>
    <w:rsid w:val="003451A0"/>
    <w:rsid w:val="003B52F5"/>
    <w:rsid w:val="003D50FC"/>
    <w:rsid w:val="00404978"/>
    <w:rsid w:val="00421909"/>
    <w:rsid w:val="00427436"/>
    <w:rsid w:val="0047103B"/>
    <w:rsid w:val="004737B5"/>
    <w:rsid w:val="00486BF4"/>
    <w:rsid w:val="004878A1"/>
    <w:rsid w:val="004D2CFE"/>
    <w:rsid w:val="004F11FC"/>
    <w:rsid w:val="00516040"/>
    <w:rsid w:val="00534607"/>
    <w:rsid w:val="005A10C5"/>
    <w:rsid w:val="005A633F"/>
    <w:rsid w:val="005A7FCA"/>
    <w:rsid w:val="005B1948"/>
    <w:rsid w:val="00600DE7"/>
    <w:rsid w:val="0062034B"/>
    <w:rsid w:val="006546D4"/>
    <w:rsid w:val="006712FB"/>
    <w:rsid w:val="00692BAB"/>
    <w:rsid w:val="006939FD"/>
    <w:rsid w:val="006B0E94"/>
    <w:rsid w:val="006C097D"/>
    <w:rsid w:val="00707D2E"/>
    <w:rsid w:val="007434B7"/>
    <w:rsid w:val="007967E9"/>
    <w:rsid w:val="007E6E5C"/>
    <w:rsid w:val="007F5EB4"/>
    <w:rsid w:val="00810234"/>
    <w:rsid w:val="00872EF4"/>
    <w:rsid w:val="008A24DC"/>
    <w:rsid w:val="008A471F"/>
    <w:rsid w:val="008A5B62"/>
    <w:rsid w:val="00935CF1"/>
    <w:rsid w:val="00975B73"/>
    <w:rsid w:val="009B7FC9"/>
    <w:rsid w:val="009E0346"/>
    <w:rsid w:val="00A1715C"/>
    <w:rsid w:val="00A22303"/>
    <w:rsid w:val="00A3178A"/>
    <w:rsid w:val="00A40326"/>
    <w:rsid w:val="00A56D3F"/>
    <w:rsid w:val="00A668B0"/>
    <w:rsid w:val="00A942CB"/>
    <w:rsid w:val="00AB4DF5"/>
    <w:rsid w:val="00AD3042"/>
    <w:rsid w:val="00B42A4E"/>
    <w:rsid w:val="00B637CB"/>
    <w:rsid w:val="00B86DB5"/>
    <w:rsid w:val="00BC6409"/>
    <w:rsid w:val="00BF7DB0"/>
    <w:rsid w:val="00C37A42"/>
    <w:rsid w:val="00C44BB5"/>
    <w:rsid w:val="00CA33D2"/>
    <w:rsid w:val="00CA5299"/>
    <w:rsid w:val="00CD56D0"/>
    <w:rsid w:val="00CF1E87"/>
    <w:rsid w:val="00CF640A"/>
    <w:rsid w:val="00D0597B"/>
    <w:rsid w:val="00D224A1"/>
    <w:rsid w:val="00D807CA"/>
    <w:rsid w:val="00DB339F"/>
    <w:rsid w:val="00DB5E40"/>
    <w:rsid w:val="00DD4113"/>
    <w:rsid w:val="00DE6819"/>
    <w:rsid w:val="00E8184E"/>
    <w:rsid w:val="00EA4C77"/>
    <w:rsid w:val="00F02A06"/>
    <w:rsid w:val="00F045E7"/>
    <w:rsid w:val="00F04B42"/>
    <w:rsid w:val="00F4272E"/>
    <w:rsid w:val="00F7704C"/>
    <w:rsid w:val="00F770E9"/>
    <w:rsid w:val="00FB64FD"/>
    <w:rsid w:val="00FB7D79"/>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6546D4"/>
    <w:rPr>
      <w:color w:val="605E5C"/>
      <w:shd w:val="clear" w:color="auto" w:fill="E1DFDD"/>
    </w:rPr>
  </w:style>
  <w:style w:type="paragraph" w:styleId="Listenabsatz">
    <w:name w:val="List Paragraph"/>
    <w:basedOn w:val="Standard"/>
    <w:uiPriority w:val="34"/>
    <w:qFormat/>
    <w:rsid w:val="00810234"/>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vibond.com/de/top-meta-navigation/pressebereich" TargetMode="External"/><Relationship Id="rId3" Type="http://schemas.openxmlformats.org/officeDocument/2006/relationships/settings" Target="settings.xml"/><Relationship Id="rId7" Type="http://schemas.openxmlformats.org/officeDocument/2006/relationships/hyperlink" Target="http://www.lovibon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Office-Benutzer</cp:lastModifiedBy>
  <cp:revision>6</cp:revision>
  <cp:lastPrinted>2018-06-18T08:35:00Z</cp:lastPrinted>
  <dcterms:created xsi:type="dcterms:W3CDTF">2021-11-05T09:41:00Z</dcterms:created>
  <dcterms:modified xsi:type="dcterms:W3CDTF">2022-09-20T12:32:00Z</dcterms:modified>
</cp:coreProperties>
</file>